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282F" w:rsidRPr="00661A64" w:rsidRDefault="007B282F" w:rsidP="00137C6F">
      <w:pPr>
        <w:tabs>
          <w:tab w:val="right" w:leader="underscore" w:pos="8931"/>
        </w:tabs>
        <w:spacing w:line="360" w:lineRule="auto"/>
        <w:contextualSpacing/>
        <w:rPr>
          <w:rFonts w:cs="Arial"/>
          <w:b/>
          <w:smallCaps/>
          <w:szCs w:val="22"/>
        </w:rPr>
      </w:pPr>
      <w:r w:rsidRPr="00661A64">
        <w:rPr>
          <w:rFonts w:cs="Arial"/>
          <w:b/>
          <w:smallCaps/>
          <w:szCs w:val="22"/>
        </w:rPr>
        <w:t>Vreemde-talendidactiek in veertig (en meer) werkbladen</w:t>
      </w:r>
    </w:p>
    <w:p w:rsidR="007B282F" w:rsidRPr="00661A64" w:rsidRDefault="007B282F" w:rsidP="00137C6F">
      <w:pPr>
        <w:tabs>
          <w:tab w:val="right" w:leader="underscore" w:pos="8931"/>
        </w:tabs>
        <w:spacing w:line="360" w:lineRule="auto"/>
        <w:contextualSpacing/>
        <w:rPr>
          <w:rFonts w:cs="Arial"/>
          <w:b/>
          <w:smallCaps/>
          <w:szCs w:val="22"/>
        </w:rPr>
      </w:pPr>
      <w:r w:rsidRPr="00661A64">
        <w:rPr>
          <w:rFonts w:cs="Arial"/>
          <w:b/>
          <w:smallCaps/>
          <w:szCs w:val="22"/>
        </w:rPr>
        <w:t>Hoofdstuk 1.</w:t>
      </w:r>
      <w:r>
        <w:rPr>
          <w:rFonts w:cs="Arial"/>
          <w:b/>
          <w:smallCaps/>
          <w:szCs w:val="22"/>
        </w:rPr>
        <w:t>2</w:t>
      </w:r>
      <w:r w:rsidRPr="00661A64">
        <w:rPr>
          <w:rFonts w:cs="Arial"/>
          <w:b/>
          <w:smallCaps/>
          <w:szCs w:val="22"/>
        </w:rPr>
        <w:t xml:space="preserve"> –</w:t>
      </w:r>
      <w:r>
        <w:rPr>
          <w:rFonts w:cs="Arial"/>
          <w:b/>
          <w:smallCaps/>
          <w:szCs w:val="22"/>
        </w:rPr>
        <w:t xml:space="preserve"> Fasering</w:t>
      </w:r>
    </w:p>
    <w:p w:rsidR="00860C81" w:rsidRPr="00AB6B76" w:rsidRDefault="007B282F" w:rsidP="00137C6F">
      <w:pPr>
        <w:spacing w:line="360" w:lineRule="auto"/>
        <w:contextualSpacing/>
        <w:rPr>
          <w:rFonts w:cs="Arial"/>
          <w:b/>
          <w:smallCaps/>
          <w:lang w:val="en-US"/>
        </w:rPr>
      </w:pPr>
      <w:r>
        <w:rPr>
          <w:rFonts w:cs="Arial"/>
          <w:b/>
          <w:szCs w:val="22"/>
        </w:rPr>
        <w:t xml:space="preserve">§ </w:t>
      </w:r>
      <w:r w:rsidR="00637C50">
        <w:rPr>
          <w:rFonts w:cs="Arial"/>
          <w:b/>
          <w:smallCaps/>
          <w:lang w:val="en-US"/>
        </w:rPr>
        <w:t>1.2</w:t>
      </w:r>
      <w:r w:rsidR="00860C81" w:rsidRPr="00AB6B76">
        <w:rPr>
          <w:rFonts w:cs="Arial"/>
          <w:b/>
          <w:smallCaps/>
          <w:lang w:val="en-US"/>
        </w:rPr>
        <w:t xml:space="preserve">.2 </w:t>
      </w:r>
      <w:r w:rsidR="00637C50">
        <w:rPr>
          <w:rFonts w:cs="Arial"/>
          <w:b/>
          <w:smallCaps/>
          <w:lang w:val="en-US"/>
        </w:rPr>
        <w:t xml:space="preserve">Suggesties voor </w:t>
      </w:r>
      <w:r>
        <w:rPr>
          <w:rFonts w:cs="Arial"/>
          <w:b/>
          <w:smallCaps/>
          <w:lang w:val="en-US"/>
        </w:rPr>
        <w:t>het gebruik van de werkbladen</w:t>
      </w:r>
    </w:p>
    <w:p w:rsidR="00137C6F" w:rsidRDefault="00137C6F" w:rsidP="00860C81">
      <w:pPr>
        <w:spacing w:line="360" w:lineRule="auto"/>
        <w:rPr>
          <w:rFonts w:cs="Arial"/>
          <w:szCs w:val="22"/>
        </w:rPr>
      </w:pPr>
    </w:p>
    <w:p w:rsidR="00860C81" w:rsidRDefault="00637C50" w:rsidP="00860C81">
      <w:pPr>
        <w:spacing w:line="360" w:lineRule="auto"/>
        <w:rPr>
          <w:rFonts w:cs="Arial"/>
          <w:szCs w:val="22"/>
        </w:rPr>
      </w:pPr>
      <w:r w:rsidRPr="009E2AC6">
        <w:rPr>
          <w:rFonts w:cs="Arial"/>
          <w:szCs w:val="22"/>
        </w:rPr>
        <w:t xml:space="preserve">In deze paragraaf vindt u suggesties voor het gebruik van de werkbladen van paragraaf </w:t>
      </w:r>
      <w:r>
        <w:rPr>
          <w:rFonts w:cs="Arial"/>
          <w:szCs w:val="22"/>
        </w:rPr>
        <w:t xml:space="preserve">1.2.3 </w:t>
      </w:r>
      <w:r w:rsidRPr="009E2AC6">
        <w:rPr>
          <w:rFonts w:cs="Arial"/>
          <w:szCs w:val="22"/>
        </w:rPr>
        <w:t xml:space="preserve">in </w:t>
      </w:r>
      <w:r>
        <w:rPr>
          <w:rFonts w:cs="Arial"/>
          <w:szCs w:val="22"/>
        </w:rPr>
        <w:t xml:space="preserve">een </w:t>
      </w:r>
      <w:r w:rsidRPr="009E2AC6">
        <w:rPr>
          <w:rFonts w:cs="Arial"/>
          <w:szCs w:val="22"/>
        </w:rPr>
        <w:t>werkc</w:t>
      </w:r>
      <w:r>
        <w:rPr>
          <w:rFonts w:cs="Arial"/>
          <w:szCs w:val="22"/>
        </w:rPr>
        <w:t xml:space="preserve">ollege van circa anderhalf uur. </w:t>
      </w:r>
      <w:r w:rsidR="00860C81" w:rsidRPr="009E2AC6">
        <w:rPr>
          <w:rFonts w:cs="Arial"/>
          <w:szCs w:val="22"/>
        </w:rPr>
        <w:t xml:space="preserve">We gaan ervan uit dat de studenten voorafgaand aan dit </w:t>
      </w:r>
      <w:r w:rsidR="00860C81">
        <w:rPr>
          <w:rFonts w:cs="Arial"/>
          <w:szCs w:val="22"/>
        </w:rPr>
        <w:t>werk</w:t>
      </w:r>
      <w:r w:rsidR="00860C81" w:rsidRPr="009E2AC6">
        <w:rPr>
          <w:rFonts w:cs="Arial"/>
          <w:szCs w:val="22"/>
        </w:rPr>
        <w:t xml:space="preserve">college een inleidende studietekst over </w:t>
      </w:r>
      <w:r w:rsidR="00860C81">
        <w:rPr>
          <w:rFonts w:cs="Arial"/>
          <w:szCs w:val="22"/>
        </w:rPr>
        <w:t>het thema “fasering”</w:t>
      </w:r>
      <w:r w:rsidR="00860C81" w:rsidRPr="009E2AC6">
        <w:rPr>
          <w:rFonts w:cs="Arial"/>
          <w:szCs w:val="22"/>
        </w:rPr>
        <w:t xml:space="preserve"> bestudeerd hebben (bijvoorbeeld</w:t>
      </w:r>
      <w:r w:rsidR="00860C81">
        <w:rPr>
          <w:rFonts w:cs="Arial"/>
          <w:szCs w:val="22"/>
        </w:rPr>
        <w:t>: § 1.1.2; Kwakernaak, 1981; Krüger, 1981).</w:t>
      </w:r>
    </w:p>
    <w:p w:rsidR="00860C81" w:rsidRDefault="00860C81" w:rsidP="00860C81">
      <w:pPr>
        <w:spacing w:line="360" w:lineRule="auto"/>
        <w:rPr>
          <w:rFonts w:cs="Arial"/>
          <w:szCs w:val="22"/>
        </w:rPr>
      </w:pPr>
    </w:p>
    <w:p w:rsidR="00860C81" w:rsidRDefault="00860C81" w:rsidP="00860C81">
      <w:pPr>
        <w:spacing w:line="360" w:lineRule="auto"/>
        <w:rPr>
          <w:rFonts w:cs="Arial"/>
          <w:szCs w:val="22"/>
        </w:rPr>
      </w:pPr>
      <w:r>
        <w:rPr>
          <w:rFonts w:cs="Arial"/>
          <w:szCs w:val="22"/>
        </w:rPr>
        <w:t xml:space="preserve">(Ca. 10’) Introductie op het thema van dit werkcollege: fasering. Het thema is vooral relevant omdat leergangen voor de onderbouw altijd werken volgens een vast faseringsmodel: </w:t>
      </w:r>
      <w:r w:rsidRPr="006F5C7B">
        <w:rPr>
          <w:rFonts w:cs="Arial"/>
          <w:i/>
          <w:szCs w:val="22"/>
        </w:rPr>
        <w:t>Presentation – Practice – Production</w:t>
      </w:r>
      <w:r>
        <w:rPr>
          <w:rFonts w:cs="Arial"/>
          <w:szCs w:val="22"/>
        </w:rPr>
        <w:t xml:space="preserve"> (</w:t>
      </w:r>
      <w:r w:rsidRPr="006F5C7B">
        <w:rPr>
          <w:rFonts w:cs="Arial"/>
          <w:i/>
          <w:szCs w:val="22"/>
        </w:rPr>
        <w:t>PPP</w:t>
      </w:r>
      <w:r>
        <w:rPr>
          <w:rFonts w:cs="Arial"/>
          <w:szCs w:val="22"/>
        </w:rPr>
        <w:t>). Kaart het thema bijvoorbeeld aan door studenten te vragen of zij op hun school werken met een leergang – en zo ja: hoe een hoofdstuk van hun leergang gewoonlijk in elkaar zit.</w:t>
      </w:r>
    </w:p>
    <w:p w:rsidR="00860C81" w:rsidRDefault="00860C81" w:rsidP="00860C81">
      <w:pPr>
        <w:spacing w:line="360" w:lineRule="auto"/>
        <w:rPr>
          <w:rFonts w:cs="Arial"/>
          <w:szCs w:val="22"/>
        </w:rPr>
      </w:pPr>
    </w:p>
    <w:p w:rsidR="00860C81" w:rsidRDefault="00860C81" w:rsidP="00860C81">
      <w:pPr>
        <w:spacing w:line="360" w:lineRule="auto"/>
        <w:contextualSpacing/>
        <w:rPr>
          <w:rFonts w:cs="Arial"/>
          <w:szCs w:val="22"/>
        </w:rPr>
      </w:pPr>
      <w:r>
        <w:rPr>
          <w:rFonts w:cs="Arial"/>
          <w:szCs w:val="22"/>
        </w:rPr>
        <w:t xml:space="preserve">(Ca. 30’) </w:t>
      </w:r>
      <w:r w:rsidRPr="003D605D">
        <w:rPr>
          <w:rFonts w:cs="Arial"/>
          <w:szCs w:val="22"/>
          <w:u w:val="single"/>
        </w:rPr>
        <w:t>Werkblad 1.2.</w:t>
      </w:r>
      <w:r w:rsidR="00DD481F">
        <w:rPr>
          <w:rFonts w:cs="Arial"/>
          <w:szCs w:val="22"/>
          <w:u w:val="single"/>
        </w:rPr>
        <w:t>3</w:t>
      </w:r>
      <w:r w:rsidRPr="003D605D">
        <w:rPr>
          <w:rFonts w:cs="Arial"/>
          <w:szCs w:val="22"/>
          <w:u w:val="single"/>
        </w:rPr>
        <w:t>.1</w:t>
      </w:r>
      <w:r>
        <w:rPr>
          <w:rFonts w:cs="Arial"/>
          <w:szCs w:val="22"/>
          <w:u w:val="single"/>
        </w:rPr>
        <w:t xml:space="preserve"> - Faserings</w:t>
      </w:r>
      <w:r w:rsidR="002F2803">
        <w:rPr>
          <w:rFonts w:cs="Arial"/>
          <w:szCs w:val="22"/>
          <w:u w:val="single"/>
        </w:rPr>
        <w:t>puzzel</w:t>
      </w:r>
      <w:r>
        <w:rPr>
          <w:rFonts w:cs="Arial"/>
          <w:szCs w:val="22"/>
        </w:rPr>
        <w:t xml:space="preserve">. Desgewenst kan de vakdidactiekdocent de strookjes kopiëren en daarna losknippen, in envelopjes doen en deze in het college uitreiken. De studenten lossen de </w:t>
      </w:r>
      <w:r w:rsidR="002F2803">
        <w:rPr>
          <w:rFonts w:cs="Arial"/>
          <w:szCs w:val="22"/>
        </w:rPr>
        <w:t>puzzel</w:t>
      </w:r>
      <w:r>
        <w:rPr>
          <w:rFonts w:cs="Arial"/>
          <w:szCs w:val="22"/>
        </w:rPr>
        <w:t xml:space="preserve"> eerst individueel op. Vervolgens proberen ze het in tweetallen met elkaar eens te worden over de beste oplossing. Ten slotte vergelijken zij hun oplossing met de fasering in Krüger (1981) of Kwakernaak (1981). De gedachtewisseling in tweetallen moet bijdragen aan de bewustmaking van de vraag in hoeverre de volgorde inderdaad zo dwingend is als de faseringsmodellen voorschrijven. Deze vraag zou ook terug moeten komen in een plenaire afronding.</w:t>
      </w:r>
    </w:p>
    <w:p w:rsidR="00860C81" w:rsidRDefault="00860C81" w:rsidP="00860C81">
      <w:pPr>
        <w:spacing w:line="360" w:lineRule="auto"/>
        <w:contextualSpacing/>
        <w:rPr>
          <w:rFonts w:cs="Arial"/>
          <w:bCs/>
          <w:szCs w:val="22"/>
        </w:rPr>
      </w:pPr>
      <w:r w:rsidRPr="009E26A5">
        <w:rPr>
          <w:rFonts w:cs="Arial"/>
          <w:bCs/>
          <w:szCs w:val="22"/>
        </w:rPr>
        <w:t>Oplossing</w:t>
      </w:r>
      <w:r>
        <w:rPr>
          <w:rFonts w:cs="Arial"/>
          <w:bCs/>
          <w:szCs w:val="22"/>
        </w:rPr>
        <w:t xml:space="preserve"> werkblad 1.2</w:t>
      </w:r>
      <w:r w:rsidR="00137C6F">
        <w:rPr>
          <w:rFonts w:cs="Arial"/>
          <w:bCs/>
          <w:szCs w:val="22"/>
        </w:rPr>
        <w:t>.3</w:t>
      </w:r>
      <w:r w:rsidRPr="009E26A5">
        <w:rPr>
          <w:rFonts w:cs="Arial"/>
          <w:bCs/>
          <w:szCs w:val="22"/>
        </w:rPr>
        <w:t xml:space="preserve">.1:  </w:t>
      </w:r>
      <w:r w:rsidRPr="009E26A5">
        <w:rPr>
          <w:rFonts w:cs="Arial"/>
          <w:bCs/>
          <w:szCs w:val="22"/>
        </w:rPr>
        <w:sym w:font="Symbol" w:char="F0AA"/>
      </w:r>
      <w:r w:rsidRPr="009E26A5">
        <w:rPr>
          <w:rFonts w:cs="Arial"/>
          <w:bCs/>
          <w:szCs w:val="22"/>
        </w:rPr>
        <w:t xml:space="preserve">  </w:t>
      </w:r>
      <w:r w:rsidRPr="009E26A5">
        <w:rPr>
          <w:rFonts w:cs="Arial"/>
          <w:bCs/>
          <w:szCs w:val="22"/>
        </w:rPr>
        <w:sym w:font="Symbol" w:char="F0AB"/>
      </w:r>
      <w:r w:rsidRPr="009E26A5">
        <w:rPr>
          <w:rFonts w:cs="Arial"/>
          <w:bCs/>
          <w:szCs w:val="22"/>
        </w:rPr>
        <w:t xml:space="preserve"> © </w:t>
      </w:r>
      <w:r w:rsidRPr="009E26A5">
        <w:rPr>
          <w:rFonts w:cs="Arial"/>
          <w:bCs/>
          <w:szCs w:val="22"/>
        </w:rPr>
        <w:sym w:font="Symbol" w:char="F0C4"/>
      </w:r>
      <w:r w:rsidRPr="009E26A5">
        <w:rPr>
          <w:rFonts w:cs="Arial"/>
          <w:bCs/>
          <w:szCs w:val="22"/>
        </w:rPr>
        <w:t xml:space="preserve"> </w:t>
      </w:r>
      <w:r w:rsidRPr="009E26A5">
        <w:rPr>
          <w:rFonts w:cs="Arial"/>
          <w:bCs/>
          <w:szCs w:val="22"/>
        </w:rPr>
        <w:sym w:font="Symbol" w:char="F023"/>
      </w:r>
      <w:r w:rsidRPr="009E26A5">
        <w:rPr>
          <w:rFonts w:cs="Arial"/>
          <w:bCs/>
          <w:szCs w:val="22"/>
        </w:rPr>
        <w:t xml:space="preserve">  </w:t>
      </w:r>
      <w:r w:rsidRPr="009E26A5">
        <w:rPr>
          <w:rFonts w:cs="Arial"/>
          <w:bCs/>
          <w:szCs w:val="22"/>
        </w:rPr>
        <w:sym w:font="Symbol" w:char="F0A5"/>
      </w:r>
      <w:r w:rsidRPr="009E26A5">
        <w:rPr>
          <w:rFonts w:cs="Arial"/>
          <w:bCs/>
          <w:szCs w:val="22"/>
        </w:rPr>
        <w:t xml:space="preserve">  </w:t>
      </w:r>
      <w:r w:rsidRPr="009E26A5">
        <w:rPr>
          <w:rFonts w:cs="Arial"/>
          <w:bCs/>
          <w:szCs w:val="22"/>
        </w:rPr>
        <w:sym w:font="Symbol" w:char="F025"/>
      </w:r>
      <w:r w:rsidRPr="009E26A5">
        <w:rPr>
          <w:rFonts w:cs="Arial"/>
          <w:bCs/>
          <w:szCs w:val="22"/>
        </w:rPr>
        <w:t xml:space="preserve"> @  &amp;  </w:t>
      </w:r>
      <w:r w:rsidRPr="009E26A5">
        <w:rPr>
          <w:rFonts w:cs="Arial"/>
          <w:bCs/>
          <w:szCs w:val="22"/>
        </w:rPr>
        <w:sym w:font="Symbol" w:char="F044"/>
      </w:r>
    </w:p>
    <w:p w:rsidR="00860C81" w:rsidRDefault="00860C81" w:rsidP="00860C81">
      <w:pPr>
        <w:spacing w:line="360" w:lineRule="auto"/>
        <w:contextualSpacing/>
        <w:rPr>
          <w:rFonts w:cs="Arial"/>
          <w:bCs/>
          <w:szCs w:val="22"/>
        </w:rPr>
      </w:pPr>
    </w:p>
    <w:p w:rsidR="00860C81" w:rsidRPr="00F8399D" w:rsidRDefault="00860C81" w:rsidP="00860C81">
      <w:pPr>
        <w:spacing w:line="360" w:lineRule="auto"/>
        <w:contextualSpacing/>
        <w:rPr>
          <w:rFonts w:cs="Arial"/>
          <w:bCs/>
          <w:szCs w:val="22"/>
        </w:rPr>
      </w:pPr>
      <w:r>
        <w:rPr>
          <w:rFonts w:cs="Arial"/>
          <w:bCs/>
          <w:szCs w:val="22"/>
        </w:rPr>
        <w:t xml:space="preserve">(Ca. 30’) </w:t>
      </w:r>
      <w:r w:rsidRPr="00F8399D">
        <w:rPr>
          <w:rFonts w:cs="Arial"/>
          <w:bCs/>
          <w:szCs w:val="22"/>
          <w:u w:val="single"/>
        </w:rPr>
        <w:t>Werkblad 1.2.</w:t>
      </w:r>
      <w:r w:rsidR="00DD481F">
        <w:rPr>
          <w:rFonts w:cs="Arial"/>
          <w:bCs/>
          <w:szCs w:val="22"/>
          <w:u w:val="single"/>
        </w:rPr>
        <w:t>3</w:t>
      </w:r>
      <w:r w:rsidRPr="00F8399D">
        <w:rPr>
          <w:rFonts w:cs="Arial"/>
          <w:bCs/>
          <w:szCs w:val="22"/>
          <w:u w:val="single"/>
        </w:rPr>
        <w:t xml:space="preserve">.2 </w:t>
      </w:r>
      <w:r>
        <w:rPr>
          <w:rFonts w:cs="Arial"/>
          <w:bCs/>
          <w:szCs w:val="22"/>
          <w:u w:val="single"/>
        </w:rPr>
        <w:t>–</w:t>
      </w:r>
      <w:r w:rsidRPr="00F8399D">
        <w:rPr>
          <w:rFonts w:cs="Arial"/>
          <w:bCs/>
          <w:szCs w:val="22"/>
          <w:u w:val="single"/>
        </w:rPr>
        <w:t xml:space="preserve"> Leergang</w:t>
      </w:r>
      <w:r w:rsidR="002F2803">
        <w:rPr>
          <w:rFonts w:cs="Arial"/>
          <w:bCs/>
          <w:szCs w:val="22"/>
          <w:u w:val="single"/>
        </w:rPr>
        <w:t>puzzel</w:t>
      </w:r>
      <w:r>
        <w:rPr>
          <w:rFonts w:cs="Arial"/>
          <w:bCs/>
          <w:szCs w:val="22"/>
        </w:rPr>
        <w:t>. Werkwijze als werkblad 1.2.2.1: eerst individueel, daarna in tweetallen en afronding plenair.</w:t>
      </w:r>
    </w:p>
    <w:p w:rsidR="00860C81" w:rsidRPr="00A90697" w:rsidRDefault="00860C81" w:rsidP="00860C81">
      <w:pPr>
        <w:spacing w:line="360" w:lineRule="auto"/>
        <w:contextualSpacing/>
        <w:rPr>
          <w:rFonts w:cs="Arial"/>
          <w:szCs w:val="22"/>
        </w:rPr>
      </w:pPr>
      <w:r w:rsidRPr="0087770A">
        <w:rPr>
          <w:rFonts w:cs="Arial"/>
          <w:szCs w:val="22"/>
        </w:rPr>
        <w:t xml:space="preserve">De volgorde van de onderdelen in de leergang is: </w:t>
      </w:r>
      <w:r w:rsidRPr="0087770A">
        <w:rPr>
          <w:rFonts w:cs="Arial"/>
          <w:szCs w:val="22"/>
        </w:rPr>
        <w:sym w:font="Wingdings" w:char="F075"/>
      </w:r>
      <w:r w:rsidRPr="0087770A">
        <w:rPr>
          <w:rFonts w:cs="Arial"/>
          <w:szCs w:val="22"/>
        </w:rPr>
        <w:t xml:space="preserve"> </w:t>
      </w:r>
      <w:r w:rsidRPr="0087770A">
        <w:rPr>
          <w:rFonts w:cs="Arial"/>
          <w:szCs w:val="22"/>
        </w:rPr>
        <w:sym w:font="Wingdings" w:char="F07C"/>
      </w:r>
      <w:r w:rsidRPr="0087770A">
        <w:rPr>
          <w:rFonts w:cs="Arial"/>
          <w:szCs w:val="22"/>
        </w:rPr>
        <w:t xml:space="preserve"> </w:t>
      </w:r>
      <w:r w:rsidRPr="0087770A">
        <w:rPr>
          <w:rFonts w:cs="Arial"/>
          <w:szCs w:val="22"/>
        </w:rPr>
        <w:sym w:font="Wingdings" w:char="F05D"/>
      </w:r>
      <w:r w:rsidRPr="0087770A">
        <w:rPr>
          <w:rFonts w:cs="Arial"/>
          <w:szCs w:val="22"/>
        </w:rPr>
        <w:t xml:space="preserve">  </w:t>
      </w:r>
      <w:r>
        <w:rPr>
          <w:rFonts w:cs="Arial"/>
          <w:szCs w:val="22"/>
        </w:rPr>
        <w:sym w:font="Wingdings" w:char="F06C"/>
      </w:r>
      <w:r w:rsidRPr="0087770A">
        <w:rPr>
          <w:rFonts w:cs="Arial"/>
          <w:szCs w:val="22"/>
        </w:rPr>
        <w:t xml:space="preserve"> </w:t>
      </w:r>
      <w:r w:rsidRPr="0087770A">
        <w:rPr>
          <w:rFonts w:cs="Arial"/>
          <w:szCs w:val="22"/>
        </w:rPr>
        <w:sym w:font="Wingdings" w:char="F036"/>
      </w:r>
      <w:r w:rsidRPr="0087770A">
        <w:rPr>
          <w:rFonts w:cs="Arial"/>
          <w:szCs w:val="22"/>
        </w:rPr>
        <w:t xml:space="preserve"> </w:t>
      </w:r>
      <w:r w:rsidRPr="0087770A">
        <w:rPr>
          <w:rFonts w:cs="Arial"/>
          <w:szCs w:val="22"/>
        </w:rPr>
        <w:sym w:font="Wingdings" w:char="F04D"/>
      </w:r>
      <w:r w:rsidRPr="0087770A">
        <w:rPr>
          <w:rFonts w:cs="Arial"/>
          <w:szCs w:val="22"/>
        </w:rPr>
        <w:t xml:space="preserve"> </w:t>
      </w:r>
      <w:r w:rsidRPr="0087770A">
        <w:rPr>
          <w:rFonts w:cs="Arial"/>
          <w:szCs w:val="22"/>
        </w:rPr>
        <w:sym w:font="Wingdings" w:char="F06E"/>
      </w:r>
      <w:r w:rsidRPr="0087770A">
        <w:rPr>
          <w:rFonts w:cs="Arial"/>
          <w:szCs w:val="22"/>
        </w:rPr>
        <w:t xml:space="preserve"> </w:t>
      </w:r>
      <w:r w:rsidRPr="0087770A">
        <w:rPr>
          <w:rFonts w:cs="Arial"/>
          <w:szCs w:val="22"/>
        </w:rPr>
        <w:sym w:font="Wingdings" w:char="F028"/>
      </w:r>
      <w:r w:rsidRPr="0087770A">
        <w:rPr>
          <w:rFonts w:cs="Arial"/>
          <w:szCs w:val="22"/>
        </w:rPr>
        <w:t xml:space="preserve"> </w:t>
      </w:r>
      <w:r w:rsidRPr="0087770A">
        <w:rPr>
          <w:rFonts w:cs="Arial"/>
          <w:szCs w:val="22"/>
        </w:rPr>
        <w:sym w:font="Wingdings" w:char="F058"/>
      </w:r>
      <w:r w:rsidRPr="0087770A">
        <w:rPr>
          <w:rFonts w:cs="Arial"/>
          <w:szCs w:val="22"/>
        </w:rPr>
        <w:t xml:space="preserve"> </w:t>
      </w:r>
      <w:r w:rsidRPr="0087770A">
        <w:rPr>
          <w:rFonts w:cs="Arial"/>
          <w:szCs w:val="22"/>
        </w:rPr>
        <w:sym w:font="Wingdings" w:char="F0A5"/>
      </w:r>
      <w:r w:rsidRPr="0087770A">
        <w:rPr>
          <w:rFonts w:cs="Arial"/>
          <w:szCs w:val="22"/>
        </w:rPr>
        <w:t xml:space="preserve"> </w:t>
      </w:r>
      <w:r w:rsidRPr="0087770A">
        <w:rPr>
          <w:rFonts w:cs="Arial"/>
          <w:szCs w:val="22"/>
        </w:rPr>
        <w:sym w:font="Wingdings" w:char="F05B"/>
      </w:r>
      <w:r w:rsidRPr="0087770A">
        <w:rPr>
          <w:rFonts w:cs="Arial"/>
          <w:szCs w:val="22"/>
        </w:rPr>
        <w:t xml:space="preserve"> </w:t>
      </w:r>
      <w:r w:rsidRPr="0087770A">
        <w:rPr>
          <w:rFonts w:cs="Arial"/>
          <w:szCs w:val="22"/>
        </w:rPr>
        <w:sym w:font="Wingdings" w:char="F053"/>
      </w:r>
      <w:r>
        <w:rPr>
          <w:rFonts w:cs="Arial"/>
          <w:szCs w:val="22"/>
        </w:rPr>
        <w:t xml:space="preserve">. Deze volgorde is in grote lijnen in overeenstemming met de faseringsmodellen van Krüger (1981) en Kwakernaak (1981). De </w:t>
      </w:r>
      <w:r w:rsidRPr="0087770A">
        <w:rPr>
          <w:rFonts w:cs="Arial"/>
          <w:i/>
          <w:szCs w:val="22"/>
        </w:rPr>
        <w:t>input</w:t>
      </w:r>
      <w:r>
        <w:rPr>
          <w:rFonts w:cs="Arial"/>
          <w:szCs w:val="22"/>
        </w:rPr>
        <w:t xml:space="preserve"> (materiaal voor de </w:t>
      </w:r>
      <w:r w:rsidRPr="0087770A">
        <w:rPr>
          <w:rFonts w:cs="Arial"/>
          <w:szCs w:val="22"/>
          <w:u w:val="single"/>
        </w:rPr>
        <w:t>presentatie</w:t>
      </w:r>
      <w:r>
        <w:rPr>
          <w:rFonts w:cs="Arial"/>
          <w:szCs w:val="22"/>
        </w:rPr>
        <w:t xml:space="preserve"> van nieuwe woorden en taalvormen staat deels in het tekstboek (de onderdelen </w:t>
      </w:r>
      <w:r w:rsidRPr="0087770A">
        <w:rPr>
          <w:rFonts w:cs="Arial"/>
          <w:szCs w:val="22"/>
        </w:rPr>
        <w:sym w:font="Wingdings" w:char="F07C"/>
      </w:r>
      <w:r>
        <w:rPr>
          <w:rFonts w:cs="Arial"/>
          <w:szCs w:val="22"/>
        </w:rPr>
        <w:t xml:space="preserve"> en </w:t>
      </w:r>
      <w:r>
        <w:rPr>
          <w:rFonts w:cs="Arial"/>
          <w:szCs w:val="22"/>
        </w:rPr>
        <w:sym w:font="Wingdings" w:char="F06C"/>
      </w:r>
      <w:r>
        <w:rPr>
          <w:rFonts w:cs="Arial"/>
          <w:szCs w:val="22"/>
        </w:rPr>
        <w:t xml:space="preserve">), deels in het werkboek (onderdeel </w:t>
      </w:r>
      <w:r w:rsidRPr="0087770A">
        <w:rPr>
          <w:rFonts w:cs="Arial"/>
          <w:szCs w:val="22"/>
        </w:rPr>
        <w:sym w:font="Wingdings" w:char="F05D"/>
      </w:r>
      <w:r>
        <w:rPr>
          <w:rFonts w:cs="Arial"/>
          <w:szCs w:val="22"/>
        </w:rPr>
        <w:t xml:space="preserve">). De onderdelen </w:t>
      </w:r>
      <w:r w:rsidRPr="0087770A">
        <w:rPr>
          <w:rFonts w:cs="Arial"/>
          <w:szCs w:val="22"/>
        </w:rPr>
        <w:sym w:font="Wingdings" w:char="F036"/>
      </w:r>
      <w:r w:rsidRPr="0087770A">
        <w:rPr>
          <w:rFonts w:cs="Arial"/>
          <w:szCs w:val="22"/>
        </w:rPr>
        <w:t xml:space="preserve"> </w:t>
      </w:r>
      <w:r>
        <w:rPr>
          <w:rFonts w:cs="Arial"/>
          <w:szCs w:val="22"/>
        </w:rPr>
        <w:t xml:space="preserve">en </w:t>
      </w:r>
      <w:r w:rsidRPr="0087770A">
        <w:rPr>
          <w:rFonts w:cs="Arial"/>
          <w:szCs w:val="22"/>
        </w:rPr>
        <w:sym w:font="Wingdings" w:char="F04D"/>
      </w:r>
      <w:r w:rsidRPr="0087770A">
        <w:rPr>
          <w:rFonts w:cs="Arial"/>
          <w:szCs w:val="22"/>
        </w:rPr>
        <w:t xml:space="preserve"> </w:t>
      </w:r>
      <w:r>
        <w:rPr>
          <w:rFonts w:cs="Arial"/>
          <w:szCs w:val="22"/>
        </w:rPr>
        <w:t xml:space="preserve">bieden materiaal voor de </w:t>
      </w:r>
      <w:r w:rsidRPr="00A90697">
        <w:rPr>
          <w:rFonts w:cs="Arial"/>
          <w:szCs w:val="22"/>
          <w:u w:val="single"/>
        </w:rPr>
        <w:t>grof- en fijnsemantisering</w:t>
      </w:r>
      <w:r>
        <w:rPr>
          <w:rFonts w:cs="Arial"/>
          <w:szCs w:val="22"/>
        </w:rPr>
        <w:t xml:space="preserve">. Onderdeel </w:t>
      </w:r>
      <w:r w:rsidRPr="0087770A">
        <w:rPr>
          <w:rFonts w:cs="Arial"/>
          <w:szCs w:val="22"/>
        </w:rPr>
        <w:sym w:font="Wingdings" w:char="F06E"/>
      </w:r>
      <w:r>
        <w:rPr>
          <w:rFonts w:cs="Arial"/>
          <w:szCs w:val="22"/>
        </w:rPr>
        <w:t xml:space="preserve"> is een ujitspraakoefening en hoort dus thuis in de </w:t>
      </w:r>
      <w:r w:rsidRPr="00A90697">
        <w:rPr>
          <w:rFonts w:cs="Arial"/>
          <w:szCs w:val="22"/>
          <w:u w:val="single"/>
        </w:rPr>
        <w:t>oefenfase</w:t>
      </w:r>
      <w:r w:rsidRPr="00A90697">
        <w:rPr>
          <w:rFonts w:cs="Arial"/>
          <w:szCs w:val="22"/>
        </w:rPr>
        <w:t xml:space="preserve">. Daarop volgt </w:t>
      </w:r>
      <w:r>
        <w:rPr>
          <w:rFonts w:cs="Arial"/>
          <w:szCs w:val="22"/>
        </w:rPr>
        <w:t xml:space="preserve">onderdeel </w:t>
      </w:r>
      <w:r w:rsidRPr="0087770A">
        <w:rPr>
          <w:rFonts w:cs="Arial"/>
          <w:szCs w:val="22"/>
        </w:rPr>
        <w:sym w:font="Wingdings" w:char="F028"/>
      </w:r>
      <w:r>
        <w:rPr>
          <w:rFonts w:cs="Arial"/>
          <w:szCs w:val="22"/>
        </w:rPr>
        <w:t xml:space="preserve"> (</w:t>
      </w:r>
      <w:r w:rsidRPr="00A90697">
        <w:rPr>
          <w:rFonts w:cs="Arial"/>
          <w:szCs w:val="22"/>
          <w:u w:val="single"/>
        </w:rPr>
        <w:t>cognitieve fase</w:t>
      </w:r>
      <w:r>
        <w:rPr>
          <w:rFonts w:cs="Arial"/>
          <w:szCs w:val="22"/>
        </w:rPr>
        <w:t xml:space="preserve">) en na </w:t>
      </w:r>
      <w:r w:rsidRPr="00A90697">
        <w:rPr>
          <w:rFonts w:cs="Arial"/>
          <w:szCs w:val="22"/>
        </w:rPr>
        <w:t xml:space="preserve">een batterij </w:t>
      </w:r>
      <w:r>
        <w:rPr>
          <w:rFonts w:cs="Arial"/>
          <w:szCs w:val="22"/>
        </w:rPr>
        <w:t>gesloten, reproductieve</w:t>
      </w:r>
      <w:r w:rsidRPr="00A90697">
        <w:rPr>
          <w:rFonts w:cs="Arial"/>
          <w:szCs w:val="22"/>
        </w:rPr>
        <w:t xml:space="preserve"> oefeningen</w:t>
      </w:r>
      <w:r>
        <w:rPr>
          <w:rFonts w:cs="Arial"/>
          <w:szCs w:val="22"/>
        </w:rPr>
        <w:t xml:space="preserve"> </w:t>
      </w:r>
      <w:r w:rsidRPr="0087770A">
        <w:rPr>
          <w:rFonts w:cs="Arial"/>
          <w:szCs w:val="22"/>
        </w:rPr>
        <w:t xml:space="preserve"> </w:t>
      </w:r>
      <w:r>
        <w:rPr>
          <w:rFonts w:cs="Arial"/>
          <w:szCs w:val="22"/>
        </w:rPr>
        <w:t>(</w:t>
      </w:r>
      <w:r w:rsidRPr="0087770A">
        <w:rPr>
          <w:rFonts w:cs="Arial"/>
          <w:szCs w:val="22"/>
        </w:rPr>
        <w:sym w:font="Wingdings" w:char="F058"/>
      </w:r>
      <w:r w:rsidRPr="0087770A">
        <w:rPr>
          <w:rFonts w:cs="Arial"/>
          <w:szCs w:val="22"/>
        </w:rPr>
        <w:t xml:space="preserve"> </w:t>
      </w:r>
      <w:r>
        <w:rPr>
          <w:rFonts w:cs="Arial"/>
          <w:szCs w:val="22"/>
        </w:rPr>
        <w:t xml:space="preserve">en </w:t>
      </w:r>
      <w:r w:rsidRPr="0087770A">
        <w:rPr>
          <w:rFonts w:cs="Arial"/>
          <w:szCs w:val="22"/>
        </w:rPr>
        <w:sym w:font="Wingdings" w:char="F0A5"/>
      </w:r>
      <w:r>
        <w:rPr>
          <w:rFonts w:cs="Arial"/>
          <w:szCs w:val="22"/>
        </w:rPr>
        <w:t xml:space="preserve">) volgen opener gespreksopdrachten voor de </w:t>
      </w:r>
      <w:r w:rsidRPr="00755DD8">
        <w:rPr>
          <w:rFonts w:cs="Arial"/>
          <w:szCs w:val="22"/>
          <w:u w:val="single"/>
        </w:rPr>
        <w:t>transferfase</w:t>
      </w:r>
      <w:r>
        <w:rPr>
          <w:rFonts w:cs="Arial"/>
          <w:szCs w:val="22"/>
        </w:rPr>
        <w:t xml:space="preserve"> (</w:t>
      </w:r>
      <w:r w:rsidRPr="0087770A">
        <w:rPr>
          <w:rFonts w:cs="Arial"/>
          <w:szCs w:val="22"/>
        </w:rPr>
        <w:sym w:font="Wingdings" w:char="F05B"/>
      </w:r>
      <w:r>
        <w:rPr>
          <w:rFonts w:cs="Arial"/>
          <w:szCs w:val="22"/>
        </w:rPr>
        <w:t xml:space="preserve">). Opdracht </w:t>
      </w:r>
      <w:r w:rsidRPr="0087770A">
        <w:rPr>
          <w:rFonts w:cs="Arial"/>
          <w:szCs w:val="22"/>
        </w:rPr>
        <w:sym w:font="Wingdings" w:char="F053"/>
      </w:r>
      <w:r>
        <w:rPr>
          <w:rFonts w:cs="Arial"/>
          <w:szCs w:val="22"/>
        </w:rPr>
        <w:t xml:space="preserve"> (</w:t>
      </w:r>
      <w:r w:rsidRPr="00755DD8">
        <w:rPr>
          <w:rFonts w:cs="Arial"/>
          <w:i/>
          <w:szCs w:val="22"/>
        </w:rPr>
        <w:t>Apprenez</w:t>
      </w:r>
      <w:r>
        <w:rPr>
          <w:rFonts w:cs="Arial"/>
          <w:szCs w:val="22"/>
        </w:rPr>
        <w:t>) is nogmaals materiaal voor een cognitieve fase en is kennelijk bedoeld ter consolidatie van wat eerder geoefend is.</w:t>
      </w:r>
    </w:p>
    <w:p w:rsidR="005600B1" w:rsidRDefault="00DD481F" w:rsidP="00860C81">
      <w:pPr>
        <w:spacing w:line="360" w:lineRule="auto"/>
        <w:contextualSpacing/>
        <w:rPr>
          <w:rFonts w:cs="Arial"/>
          <w:bCs/>
          <w:szCs w:val="22"/>
        </w:rPr>
      </w:pPr>
      <w:r>
        <w:rPr>
          <w:rFonts w:cs="Arial"/>
          <w:bCs/>
          <w:szCs w:val="22"/>
        </w:rPr>
        <w:lastRenderedPageBreak/>
        <w:t>Op de volgende pagina’s staat</w:t>
      </w:r>
      <w:r w:rsidR="00860C81">
        <w:rPr>
          <w:rFonts w:cs="Arial"/>
          <w:bCs/>
          <w:szCs w:val="22"/>
        </w:rPr>
        <w:t xml:space="preserve"> een kopie van </w:t>
      </w:r>
      <w:r>
        <w:rPr>
          <w:rFonts w:cs="Arial"/>
          <w:bCs/>
          <w:szCs w:val="22"/>
        </w:rPr>
        <w:t>het</w:t>
      </w:r>
      <w:r w:rsidR="00860C81">
        <w:rPr>
          <w:rFonts w:cs="Arial"/>
          <w:bCs/>
          <w:szCs w:val="22"/>
        </w:rPr>
        <w:t xml:space="preserve"> betreffende </w:t>
      </w:r>
      <w:r>
        <w:rPr>
          <w:rFonts w:cs="Arial"/>
          <w:bCs/>
          <w:szCs w:val="22"/>
        </w:rPr>
        <w:t xml:space="preserve">hoofdstuk uit </w:t>
      </w:r>
      <w:r w:rsidRPr="00DD481F">
        <w:rPr>
          <w:rFonts w:cs="Arial"/>
          <w:bCs/>
          <w:i/>
          <w:szCs w:val="22"/>
        </w:rPr>
        <w:t>Carte Orange</w:t>
      </w:r>
      <w:r w:rsidR="00860C81">
        <w:rPr>
          <w:rFonts w:cs="Arial"/>
          <w:bCs/>
          <w:szCs w:val="22"/>
        </w:rPr>
        <w:t xml:space="preserve"> in de originele volgorde.</w:t>
      </w:r>
    </w:p>
    <w:p w:rsidR="005600B1" w:rsidRDefault="005600B1" w:rsidP="0094330F">
      <w:pPr>
        <w:spacing w:after="200" w:line="276" w:lineRule="auto"/>
      </w:pPr>
      <w:r>
        <w:rPr>
          <w:rFonts w:cs="Arial"/>
          <w:bCs/>
          <w:szCs w:val="22"/>
        </w:rPr>
        <w:br w:type="page"/>
      </w:r>
      <w:r w:rsidR="00DD481F">
        <w:rPr>
          <w:b/>
        </w:rPr>
        <w:lastRenderedPageBreak/>
        <w:t>Carte Orange 1 HV - Unité 5</w:t>
      </w:r>
    </w:p>
    <w:p w:rsidR="005600B1" w:rsidRDefault="005600B1" w:rsidP="005600B1">
      <w:pPr>
        <w:spacing w:line="360" w:lineRule="auto"/>
        <w:contextualSpacing/>
      </w:pPr>
      <w:r>
        <w:t>(Ontleend aan Knop, Bakker-van de Panne, V</w:t>
      </w:r>
      <w:r w:rsidRPr="009E26A5">
        <w:t>an den Broek, Lomier, &amp; Lucas, 2013, Unité 5)</w:t>
      </w:r>
    </w:p>
    <w:p w:rsidR="005600B1" w:rsidRDefault="005600B1" w:rsidP="005600B1">
      <w:pPr>
        <w:spacing w:line="360" w:lineRule="auto"/>
        <w:contextualSpacing/>
      </w:pPr>
    </w:p>
    <w:p w:rsidR="005600B1" w:rsidRDefault="005600B1" w:rsidP="005600B1">
      <w:pPr>
        <w:spacing w:line="360" w:lineRule="auto"/>
        <w:contextualSpacing/>
      </w:pPr>
      <w:r>
        <w:rPr>
          <w:noProof/>
          <w:lang w:eastAsia="nl-NL"/>
        </w:rPr>
        <w:drawing>
          <wp:inline distT="0" distB="0" distL="0" distR="0">
            <wp:extent cx="5751195" cy="6362700"/>
            <wp:effectExtent l="19050" t="0" r="1905"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srcRect/>
                    <a:stretch>
                      <a:fillRect/>
                    </a:stretch>
                  </pic:blipFill>
                  <pic:spPr bwMode="auto">
                    <a:xfrm>
                      <a:off x="0" y="0"/>
                      <a:ext cx="5751195" cy="6362700"/>
                    </a:xfrm>
                    <a:prstGeom prst="rect">
                      <a:avLst/>
                    </a:prstGeom>
                    <a:noFill/>
                    <a:ln w="9525">
                      <a:noFill/>
                      <a:miter lim="800000"/>
                      <a:headEnd/>
                      <a:tailEnd/>
                    </a:ln>
                  </pic:spPr>
                </pic:pic>
              </a:graphicData>
            </a:graphic>
          </wp:inline>
        </w:drawing>
      </w:r>
    </w:p>
    <w:p w:rsidR="005600B1" w:rsidRDefault="005600B1" w:rsidP="005600B1">
      <w:pPr>
        <w:spacing w:line="360" w:lineRule="auto"/>
        <w:contextualSpacing/>
      </w:pPr>
    </w:p>
    <w:p w:rsidR="005600B1" w:rsidRDefault="005600B1" w:rsidP="005600B1">
      <w:pPr>
        <w:spacing w:line="360" w:lineRule="auto"/>
        <w:contextualSpacing/>
      </w:pPr>
      <w:r>
        <w:rPr>
          <w:noProof/>
          <w:lang w:eastAsia="nl-NL"/>
        </w:rPr>
        <w:lastRenderedPageBreak/>
        <w:drawing>
          <wp:inline distT="0" distB="0" distL="0" distR="0">
            <wp:extent cx="5757545" cy="5662930"/>
            <wp:effectExtent l="1905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5757545" cy="5662930"/>
                    </a:xfrm>
                    <a:prstGeom prst="rect">
                      <a:avLst/>
                    </a:prstGeom>
                    <a:noFill/>
                    <a:ln w="9525">
                      <a:noFill/>
                      <a:miter lim="800000"/>
                      <a:headEnd/>
                      <a:tailEnd/>
                    </a:ln>
                  </pic:spPr>
                </pic:pic>
              </a:graphicData>
            </a:graphic>
          </wp:inline>
        </w:drawing>
      </w:r>
    </w:p>
    <w:p w:rsidR="005600B1" w:rsidRDefault="005600B1" w:rsidP="005600B1">
      <w:pPr>
        <w:spacing w:line="360" w:lineRule="auto"/>
        <w:contextualSpacing/>
      </w:pPr>
    </w:p>
    <w:p w:rsidR="005600B1" w:rsidRDefault="005600B1" w:rsidP="005600B1">
      <w:pPr>
        <w:spacing w:line="360" w:lineRule="auto"/>
        <w:contextualSpacing/>
      </w:pPr>
      <w:r>
        <w:rPr>
          <w:noProof/>
          <w:lang w:eastAsia="nl-NL"/>
        </w:rPr>
        <w:lastRenderedPageBreak/>
        <w:drawing>
          <wp:inline distT="0" distB="0" distL="0" distR="0">
            <wp:extent cx="5751195" cy="6179820"/>
            <wp:effectExtent l="19050" t="0" r="190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5751195" cy="6179820"/>
                    </a:xfrm>
                    <a:prstGeom prst="rect">
                      <a:avLst/>
                    </a:prstGeom>
                    <a:noFill/>
                    <a:ln w="9525">
                      <a:noFill/>
                      <a:miter lim="800000"/>
                      <a:headEnd/>
                      <a:tailEnd/>
                    </a:ln>
                  </pic:spPr>
                </pic:pic>
              </a:graphicData>
            </a:graphic>
          </wp:inline>
        </w:drawing>
      </w:r>
    </w:p>
    <w:p w:rsidR="005600B1" w:rsidRDefault="005600B1" w:rsidP="005600B1">
      <w:pPr>
        <w:spacing w:line="360" w:lineRule="auto"/>
        <w:contextualSpacing/>
      </w:pPr>
    </w:p>
    <w:p w:rsidR="005600B1" w:rsidRDefault="005600B1" w:rsidP="005600B1">
      <w:pPr>
        <w:spacing w:line="360" w:lineRule="auto"/>
        <w:contextualSpacing/>
      </w:pPr>
      <w:r>
        <w:rPr>
          <w:noProof/>
          <w:lang w:eastAsia="nl-NL"/>
        </w:rPr>
        <w:lastRenderedPageBreak/>
        <w:drawing>
          <wp:inline distT="0" distB="0" distL="0" distR="0">
            <wp:extent cx="5751195" cy="7687310"/>
            <wp:effectExtent l="19050" t="0" r="190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5751195" cy="7687310"/>
                    </a:xfrm>
                    <a:prstGeom prst="rect">
                      <a:avLst/>
                    </a:prstGeom>
                    <a:noFill/>
                    <a:ln w="9525">
                      <a:noFill/>
                      <a:miter lim="800000"/>
                      <a:headEnd/>
                      <a:tailEnd/>
                    </a:ln>
                  </pic:spPr>
                </pic:pic>
              </a:graphicData>
            </a:graphic>
          </wp:inline>
        </w:drawing>
      </w:r>
    </w:p>
    <w:p w:rsidR="005600B1" w:rsidRDefault="005600B1" w:rsidP="005600B1">
      <w:pPr>
        <w:spacing w:line="360" w:lineRule="auto"/>
        <w:contextualSpacing/>
      </w:pPr>
    </w:p>
    <w:p w:rsidR="005600B1" w:rsidRDefault="005600B1" w:rsidP="005600B1">
      <w:pPr>
        <w:spacing w:line="360" w:lineRule="auto"/>
        <w:contextualSpacing/>
      </w:pPr>
      <w:r>
        <w:rPr>
          <w:noProof/>
          <w:lang w:eastAsia="nl-NL"/>
        </w:rPr>
        <w:lastRenderedPageBreak/>
        <w:drawing>
          <wp:inline distT="0" distB="0" distL="0" distR="0">
            <wp:extent cx="5757545" cy="8437880"/>
            <wp:effectExtent l="1905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5757545" cy="8437880"/>
                    </a:xfrm>
                    <a:prstGeom prst="rect">
                      <a:avLst/>
                    </a:prstGeom>
                    <a:noFill/>
                    <a:ln w="9525">
                      <a:noFill/>
                      <a:miter lim="800000"/>
                      <a:headEnd/>
                      <a:tailEnd/>
                    </a:ln>
                  </pic:spPr>
                </pic:pic>
              </a:graphicData>
            </a:graphic>
          </wp:inline>
        </w:drawing>
      </w:r>
    </w:p>
    <w:p w:rsidR="005600B1" w:rsidRDefault="005600B1" w:rsidP="005600B1">
      <w:pPr>
        <w:spacing w:line="360" w:lineRule="auto"/>
        <w:contextualSpacing/>
      </w:pPr>
    </w:p>
    <w:p w:rsidR="005600B1" w:rsidRDefault="005600B1" w:rsidP="005600B1">
      <w:pPr>
        <w:spacing w:line="360" w:lineRule="auto"/>
        <w:contextualSpacing/>
      </w:pPr>
    </w:p>
    <w:p w:rsidR="005600B1" w:rsidRDefault="005600B1" w:rsidP="005600B1">
      <w:pPr>
        <w:spacing w:line="360" w:lineRule="auto"/>
        <w:contextualSpacing/>
      </w:pPr>
      <w:r>
        <w:rPr>
          <w:noProof/>
          <w:lang w:eastAsia="nl-NL"/>
        </w:rPr>
        <w:lastRenderedPageBreak/>
        <w:drawing>
          <wp:inline distT="0" distB="0" distL="0" distR="0">
            <wp:extent cx="5757545" cy="8651875"/>
            <wp:effectExtent l="1905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5757545" cy="8651875"/>
                    </a:xfrm>
                    <a:prstGeom prst="rect">
                      <a:avLst/>
                    </a:prstGeom>
                    <a:noFill/>
                    <a:ln w="9525">
                      <a:noFill/>
                      <a:miter lim="800000"/>
                      <a:headEnd/>
                      <a:tailEnd/>
                    </a:ln>
                  </pic:spPr>
                </pic:pic>
              </a:graphicData>
            </a:graphic>
          </wp:inline>
        </w:drawing>
      </w:r>
    </w:p>
    <w:p w:rsidR="005600B1" w:rsidRDefault="005600B1" w:rsidP="005600B1">
      <w:pPr>
        <w:spacing w:line="360" w:lineRule="auto"/>
        <w:contextualSpacing/>
      </w:pPr>
    </w:p>
    <w:p w:rsidR="005600B1" w:rsidRDefault="005600B1" w:rsidP="005600B1">
      <w:pPr>
        <w:spacing w:line="360" w:lineRule="auto"/>
        <w:contextualSpacing/>
      </w:pPr>
      <w:r>
        <w:rPr>
          <w:noProof/>
          <w:lang w:eastAsia="nl-NL"/>
        </w:rPr>
        <w:drawing>
          <wp:inline distT="0" distB="0" distL="0" distR="0">
            <wp:extent cx="5757545" cy="8349615"/>
            <wp:effectExtent l="1905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a:stretch>
                      <a:fillRect/>
                    </a:stretch>
                  </pic:blipFill>
                  <pic:spPr bwMode="auto">
                    <a:xfrm>
                      <a:off x="0" y="0"/>
                      <a:ext cx="5757545" cy="8349615"/>
                    </a:xfrm>
                    <a:prstGeom prst="rect">
                      <a:avLst/>
                    </a:prstGeom>
                    <a:noFill/>
                    <a:ln w="9525">
                      <a:noFill/>
                      <a:miter lim="800000"/>
                      <a:headEnd/>
                      <a:tailEnd/>
                    </a:ln>
                  </pic:spPr>
                </pic:pic>
              </a:graphicData>
            </a:graphic>
          </wp:inline>
        </w:drawing>
      </w:r>
    </w:p>
    <w:p w:rsidR="005600B1" w:rsidRDefault="005600B1" w:rsidP="005600B1">
      <w:pPr>
        <w:spacing w:line="360" w:lineRule="auto"/>
        <w:contextualSpacing/>
      </w:pPr>
    </w:p>
    <w:p w:rsidR="005600B1" w:rsidRDefault="005600B1" w:rsidP="005600B1">
      <w:pPr>
        <w:spacing w:line="360" w:lineRule="auto"/>
        <w:contextualSpacing/>
      </w:pPr>
      <w:r>
        <w:rPr>
          <w:noProof/>
          <w:lang w:eastAsia="nl-NL"/>
        </w:rPr>
        <w:lastRenderedPageBreak/>
        <w:drawing>
          <wp:inline distT="0" distB="0" distL="0" distR="0">
            <wp:extent cx="5751195" cy="8488045"/>
            <wp:effectExtent l="19050" t="0" r="190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5751195" cy="8488045"/>
                    </a:xfrm>
                    <a:prstGeom prst="rect">
                      <a:avLst/>
                    </a:prstGeom>
                    <a:noFill/>
                    <a:ln w="9525">
                      <a:noFill/>
                      <a:miter lim="800000"/>
                      <a:headEnd/>
                      <a:tailEnd/>
                    </a:ln>
                  </pic:spPr>
                </pic:pic>
              </a:graphicData>
            </a:graphic>
          </wp:inline>
        </w:drawing>
      </w:r>
    </w:p>
    <w:p w:rsidR="005600B1" w:rsidRDefault="005600B1" w:rsidP="005600B1">
      <w:pPr>
        <w:spacing w:line="360" w:lineRule="auto"/>
        <w:contextualSpacing/>
      </w:pPr>
    </w:p>
    <w:p w:rsidR="005600B1" w:rsidRDefault="005600B1" w:rsidP="005600B1">
      <w:pPr>
        <w:spacing w:line="360" w:lineRule="auto"/>
        <w:contextualSpacing/>
      </w:pPr>
      <w:r>
        <w:rPr>
          <w:noProof/>
          <w:lang w:eastAsia="nl-NL"/>
        </w:rPr>
        <w:lastRenderedPageBreak/>
        <w:drawing>
          <wp:inline distT="0" distB="0" distL="0" distR="0">
            <wp:extent cx="5757545" cy="8488045"/>
            <wp:effectExtent l="1905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srcRect/>
                    <a:stretch>
                      <a:fillRect/>
                    </a:stretch>
                  </pic:blipFill>
                  <pic:spPr bwMode="auto">
                    <a:xfrm>
                      <a:off x="0" y="0"/>
                      <a:ext cx="5757545" cy="8488045"/>
                    </a:xfrm>
                    <a:prstGeom prst="rect">
                      <a:avLst/>
                    </a:prstGeom>
                    <a:noFill/>
                    <a:ln w="9525">
                      <a:noFill/>
                      <a:miter lim="800000"/>
                      <a:headEnd/>
                      <a:tailEnd/>
                    </a:ln>
                  </pic:spPr>
                </pic:pic>
              </a:graphicData>
            </a:graphic>
          </wp:inline>
        </w:drawing>
      </w:r>
    </w:p>
    <w:p w:rsidR="005600B1" w:rsidRDefault="005600B1" w:rsidP="005600B1">
      <w:pPr>
        <w:spacing w:line="360" w:lineRule="auto"/>
        <w:contextualSpacing/>
      </w:pPr>
    </w:p>
    <w:p w:rsidR="005600B1" w:rsidRDefault="005600B1" w:rsidP="005600B1">
      <w:pPr>
        <w:spacing w:line="360" w:lineRule="auto"/>
        <w:contextualSpacing/>
      </w:pPr>
      <w:r>
        <w:rPr>
          <w:noProof/>
          <w:lang w:eastAsia="nl-NL"/>
        </w:rPr>
        <w:lastRenderedPageBreak/>
        <w:drawing>
          <wp:inline distT="0" distB="0" distL="0" distR="0">
            <wp:extent cx="5751195" cy="8601710"/>
            <wp:effectExtent l="19050" t="0" r="1905"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a:stretch>
                      <a:fillRect/>
                    </a:stretch>
                  </pic:blipFill>
                  <pic:spPr bwMode="auto">
                    <a:xfrm>
                      <a:off x="0" y="0"/>
                      <a:ext cx="5751195" cy="8601710"/>
                    </a:xfrm>
                    <a:prstGeom prst="rect">
                      <a:avLst/>
                    </a:prstGeom>
                    <a:noFill/>
                    <a:ln w="9525">
                      <a:noFill/>
                      <a:miter lim="800000"/>
                      <a:headEnd/>
                      <a:tailEnd/>
                    </a:ln>
                  </pic:spPr>
                </pic:pic>
              </a:graphicData>
            </a:graphic>
          </wp:inline>
        </w:drawing>
      </w:r>
    </w:p>
    <w:p w:rsidR="005600B1" w:rsidRDefault="005600B1" w:rsidP="005600B1">
      <w:pPr>
        <w:spacing w:line="360" w:lineRule="auto"/>
        <w:contextualSpacing/>
      </w:pPr>
    </w:p>
    <w:p w:rsidR="00860C81" w:rsidRDefault="005600B1" w:rsidP="005600B1">
      <w:pPr>
        <w:spacing w:line="360" w:lineRule="auto"/>
        <w:contextualSpacing/>
        <w:rPr>
          <w:rFonts w:cs="Arial"/>
          <w:bCs/>
          <w:szCs w:val="22"/>
        </w:rPr>
      </w:pPr>
      <w:r>
        <w:rPr>
          <w:noProof/>
          <w:lang w:eastAsia="nl-NL"/>
        </w:rPr>
        <w:lastRenderedPageBreak/>
        <w:drawing>
          <wp:inline distT="0" distB="0" distL="0" distR="0">
            <wp:extent cx="5757545" cy="6899275"/>
            <wp:effectExtent l="1905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a:stretch>
                      <a:fillRect/>
                    </a:stretch>
                  </pic:blipFill>
                  <pic:spPr bwMode="auto">
                    <a:xfrm>
                      <a:off x="0" y="0"/>
                      <a:ext cx="5757545" cy="6899275"/>
                    </a:xfrm>
                    <a:prstGeom prst="rect">
                      <a:avLst/>
                    </a:prstGeom>
                    <a:noFill/>
                    <a:ln w="9525">
                      <a:noFill/>
                      <a:miter lim="800000"/>
                      <a:headEnd/>
                      <a:tailEnd/>
                    </a:ln>
                  </pic:spPr>
                </pic:pic>
              </a:graphicData>
            </a:graphic>
          </wp:inline>
        </w:drawing>
      </w:r>
    </w:p>
    <w:p w:rsidR="005600B1" w:rsidRDefault="005600B1" w:rsidP="00860C81">
      <w:pPr>
        <w:spacing w:line="360" w:lineRule="auto"/>
        <w:contextualSpacing/>
        <w:rPr>
          <w:rFonts w:cs="Arial"/>
          <w:bCs/>
          <w:szCs w:val="22"/>
        </w:rPr>
      </w:pPr>
    </w:p>
    <w:p w:rsidR="00860C81" w:rsidRDefault="00860C81" w:rsidP="00860C81">
      <w:pPr>
        <w:spacing w:line="360" w:lineRule="auto"/>
        <w:rPr>
          <w:rFonts w:cs="Arial"/>
          <w:szCs w:val="22"/>
        </w:rPr>
      </w:pPr>
    </w:p>
    <w:p w:rsidR="00860C81" w:rsidRDefault="00860C81" w:rsidP="00860C81">
      <w:pPr>
        <w:spacing w:line="360" w:lineRule="auto"/>
        <w:rPr>
          <w:rFonts w:cs="Arial"/>
          <w:lang w:val="en-US"/>
        </w:rPr>
      </w:pPr>
      <w:r>
        <w:rPr>
          <w:rFonts w:cs="Arial"/>
          <w:lang w:val="en-US"/>
        </w:rPr>
        <w:t>(Ca. 10’) Afsluitende plenaire bespreking:</w:t>
      </w:r>
    </w:p>
    <w:p w:rsidR="00860C81" w:rsidRDefault="00860C81" w:rsidP="00860C81">
      <w:pPr>
        <w:numPr>
          <w:ilvl w:val="0"/>
          <w:numId w:val="1"/>
        </w:numPr>
        <w:spacing w:line="360" w:lineRule="auto"/>
        <w:ind w:left="284" w:hanging="284"/>
        <w:rPr>
          <w:rFonts w:cs="Arial"/>
          <w:lang w:val="en-US"/>
        </w:rPr>
      </w:pPr>
      <w:r>
        <w:rPr>
          <w:rFonts w:cs="Arial"/>
          <w:lang w:val="en-US"/>
        </w:rPr>
        <w:t>In hoeverre is zo’n faseringsmodel handig gereedschap bij het voorbereiden van een les? Waarom wel/niet?</w:t>
      </w:r>
    </w:p>
    <w:p w:rsidR="00860C81" w:rsidRDefault="00860C81" w:rsidP="00860C81">
      <w:pPr>
        <w:numPr>
          <w:ilvl w:val="0"/>
          <w:numId w:val="1"/>
        </w:numPr>
        <w:spacing w:line="360" w:lineRule="auto"/>
        <w:ind w:left="284" w:hanging="284"/>
        <w:rPr>
          <w:rFonts w:cs="Arial"/>
          <w:lang w:val="en-US"/>
        </w:rPr>
      </w:pPr>
      <w:r>
        <w:rPr>
          <w:rFonts w:cs="Arial"/>
          <w:lang w:val="en-US"/>
        </w:rPr>
        <w:t xml:space="preserve">Hoe dwingend is de volgorde die de faseringsmodellen aanreiken? Zou je bijvoorbeeld ook kunnen beginnen met de open gespreksopdracht </w:t>
      </w:r>
      <w:r>
        <w:rPr>
          <w:rFonts w:cs="Arial"/>
          <w:lang w:val="en-US"/>
        </w:rPr>
        <w:sym w:font="Wingdings" w:char="F05B"/>
      </w:r>
      <w:r>
        <w:rPr>
          <w:rFonts w:cs="Arial"/>
          <w:lang w:val="en-US"/>
        </w:rPr>
        <w:t>? Wat zou er dan kunnen gebeuren? Hoe wenselijk of onwenselijk zou dat zijn?</w:t>
      </w:r>
    </w:p>
    <w:p w:rsidR="00860C81" w:rsidRDefault="00860C81" w:rsidP="00860C81">
      <w:pPr>
        <w:spacing w:line="360" w:lineRule="auto"/>
        <w:rPr>
          <w:rFonts w:cs="Arial"/>
          <w:lang w:val="en-US"/>
        </w:rPr>
      </w:pPr>
    </w:p>
    <w:p w:rsidR="00860C81" w:rsidRDefault="00860C81" w:rsidP="00860C81">
      <w:pPr>
        <w:spacing w:line="360" w:lineRule="auto"/>
        <w:rPr>
          <w:rFonts w:cs="Arial"/>
          <w:lang w:val="en-US"/>
        </w:rPr>
      </w:pPr>
      <w:r>
        <w:rPr>
          <w:rFonts w:cs="Arial"/>
          <w:lang w:val="en-US"/>
        </w:rPr>
        <w:t xml:space="preserve">(Ca. 5’) Evaluatie. Bijvoorbeeld: elke student noteert in trefwoorden op een groene </w:t>
      </w:r>
      <w:r w:rsidRPr="007540CB">
        <w:rPr>
          <w:rFonts w:cs="Arial"/>
          <w:i/>
          <w:lang w:val="en-US"/>
        </w:rPr>
        <w:t>post-it</w:t>
      </w:r>
      <w:r>
        <w:rPr>
          <w:rFonts w:cs="Arial"/>
          <w:lang w:val="en-US"/>
        </w:rPr>
        <w:t xml:space="preserve"> wat zij of hij leerzaam vond aan dit werkcollege en op een rode </w:t>
      </w:r>
      <w:r w:rsidRPr="007540CB">
        <w:rPr>
          <w:rFonts w:cs="Arial"/>
          <w:i/>
          <w:lang w:val="en-US"/>
        </w:rPr>
        <w:t>post-it</w:t>
      </w:r>
      <w:r>
        <w:rPr>
          <w:rFonts w:cs="Arial"/>
          <w:lang w:val="en-US"/>
        </w:rPr>
        <w:t xml:space="preserve"> wat zij of hij liever anders had gezien. De studenten plakken hun </w:t>
      </w:r>
      <w:r w:rsidRPr="00755DD8">
        <w:rPr>
          <w:rFonts w:cs="Arial"/>
          <w:i/>
          <w:lang w:val="en-US"/>
        </w:rPr>
        <w:t>post-its</w:t>
      </w:r>
      <w:r>
        <w:rPr>
          <w:rFonts w:cs="Arial"/>
          <w:lang w:val="en-US"/>
        </w:rPr>
        <w:t xml:space="preserve"> aan de binnenkant van de toegangsdeur tot de collegezaal zodat alle deelnemers er kennis van kan nemen.</w:t>
      </w:r>
    </w:p>
    <w:p w:rsidR="00860C81" w:rsidRDefault="00860C81" w:rsidP="00860C81">
      <w:pPr>
        <w:spacing w:line="360" w:lineRule="auto"/>
        <w:rPr>
          <w:rFonts w:cs="Arial"/>
          <w:lang w:val="en-US"/>
        </w:rPr>
      </w:pPr>
    </w:p>
    <w:p w:rsidR="00860C81" w:rsidRPr="00467FD9" w:rsidRDefault="00860C81" w:rsidP="00860C81">
      <w:pPr>
        <w:spacing w:line="360" w:lineRule="auto"/>
        <w:rPr>
          <w:rFonts w:cs="Arial"/>
          <w:u w:val="single"/>
          <w:lang w:val="en-US"/>
        </w:rPr>
      </w:pPr>
      <w:r>
        <w:rPr>
          <w:rFonts w:cs="Arial"/>
          <w:u w:val="single"/>
          <w:lang w:val="en-US"/>
        </w:rPr>
        <w:t>Mogelijke</w:t>
      </w:r>
      <w:r w:rsidRPr="00467FD9">
        <w:rPr>
          <w:rFonts w:cs="Arial"/>
          <w:u w:val="single"/>
          <w:lang w:val="en-US"/>
        </w:rPr>
        <w:t xml:space="preserve"> vervolgopdracht</w:t>
      </w:r>
    </w:p>
    <w:p w:rsidR="00DE39B8" w:rsidRPr="00860C81" w:rsidRDefault="00860C81" w:rsidP="00860C81">
      <w:pPr>
        <w:spacing w:line="360" w:lineRule="auto"/>
        <w:rPr>
          <w:rFonts w:cs="Arial"/>
          <w:lang w:val="en-US"/>
        </w:rPr>
      </w:pPr>
      <w:r>
        <w:rPr>
          <w:rFonts w:cs="Arial"/>
          <w:lang w:val="en-US"/>
        </w:rPr>
        <w:t>De studenten b</w:t>
      </w:r>
      <w:r w:rsidRPr="005433AD">
        <w:rPr>
          <w:rFonts w:cs="Arial"/>
          <w:lang w:val="en-US"/>
        </w:rPr>
        <w:t>ereid</w:t>
      </w:r>
      <w:r>
        <w:rPr>
          <w:rFonts w:cs="Arial"/>
          <w:lang w:val="en-US"/>
        </w:rPr>
        <w:t>en (zo mogelijk in tweetallen)</w:t>
      </w:r>
      <w:r w:rsidRPr="005433AD">
        <w:rPr>
          <w:rFonts w:cs="Arial"/>
          <w:lang w:val="en-US"/>
        </w:rPr>
        <w:t xml:space="preserve"> </w:t>
      </w:r>
      <w:r>
        <w:rPr>
          <w:rFonts w:cs="Arial"/>
          <w:lang w:val="en-US"/>
        </w:rPr>
        <w:t>-</w:t>
      </w:r>
      <w:r w:rsidRPr="005433AD">
        <w:rPr>
          <w:rFonts w:cs="Arial"/>
          <w:lang w:val="en-US"/>
        </w:rPr>
        <w:t xml:space="preserve"> op basis van </w:t>
      </w:r>
      <w:r>
        <w:rPr>
          <w:rFonts w:cs="Arial"/>
          <w:lang w:val="en-US"/>
        </w:rPr>
        <w:t>leer</w:t>
      </w:r>
      <w:r w:rsidRPr="005433AD">
        <w:rPr>
          <w:rFonts w:cs="Arial"/>
          <w:lang w:val="en-US"/>
        </w:rPr>
        <w:t xml:space="preserve">materiaal </w:t>
      </w:r>
      <w:r>
        <w:rPr>
          <w:rFonts w:cs="Arial"/>
          <w:lang w:val="en-US"/>
        </w:rPr>
        <w:t>uit een leergang</w:t>
      </w:r>
      <w:r w:rsidRPr="005433AD">
        <w:rPr>
          <w:rFonts w:cs="Arial"/>
          <w:lang w:val="en-US"/>
        </w:rPr>
        <w:t xml:space="preserve"> - een (deel)les aan een onderbouwklas voor</w:t>
      </w:r>
      <w:r>
        <w:rPr>
          <w:rFonts w:cs="Arial"/>
          <w:lang w:val="en-US"/>
        </w:rPr>
        <w:t xml:space="preserve">. Zij doen dit </w:t>
      </w:r>
      <w:r w:rsidRPr="005433AD">
        <w:rPr>
          <w:rFonts w:cs="Arial"/>
          <w:lang w:val="en-US"/>
        </w:rPr>
        <w:t xml:space="preserve">aan de hand van </w:t>
      </w:r>
      <w:r>
        <w:rPr>
          <w:rFonts w:cs="Arial"/>
          <w:lang w:val="en-US"/>
        </w:rPr>
        <w:t xml:space="preserve">de sleutelvragen van </w:t>
      </w:r>
      <w:r w:rsidRPr="005433AD">
        <w:rPr>
          <w:rFonts w:cs="Arial"/>
          <w:lang w:val="en-US"/>
        </w:rPr>
        <w:t xml:space="preserve">het model </w:t>
      </w:r>
      <w:r w:rsidRPr="0062271F">
        <w:rPr>
          <w:rFonts w:cs="Arial"/>
          <w:i/>
          <w:lang w:val="en-US"/>
        </w:rPr>
        <w:t>Didactische Analyse</w:t>
      </w:r>
      <w:r>
        <w:rPr>
          <w:rFonts w:cs="Arial"/>
          <w:lang w:val="en-US"/>
        </w:rPr>
        <w:t xml:space="preserve"> en één van de faseringsmodellen (Krüger, 1981 of Kwakernaak, 1981). Mogelijk constateren zij dat het leermateriaal van de leergang incompleet is en/of qua volgorde niet klopt met het faseringsmodel. Mocht dit het geval zijn, dan bedenken zij daarvoor een werkbare oplossing.</w:t>
      </w:r>
    </w:p>
    <w:sectPr w:rsidR="00DE39B8" w:rsidRPr="00860C81" w:rsidSect="00DE39B8">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C80834"/>
    <w:multiLevelType w:val="hybridMultilevel"/>
    <w:tmpl w:val="C7FECF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4B053B2B"/>
    <w:multiLevelType w:val="hybridMultilevel"/>
    <w:tmpl w:val="3B9AE6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1"/>
  <w:defaultTabStop w:val="708"/>
  <w:hyphenationZone w:val="425"/>
  <w:characterSpacingControl w:val="doNotCompress"/>
  <w:compat/>
  <w:rsids>
    <w:rsidRoot w:val="00860C81"/>
    <w:rsid w:val="00016788"/>
    <w:rsid w:val="00022F97"/>
    <w:rsid w:val="000B7EC8"/>
    <w:rsid w:val="000D0214"/>
    <w:rsid w:val="001240AE"/>
    <w:rsid w:val="00137C6F"/>
    <w:rsid w:val="001811AD"/>
    <w:rsid w:val="00233459"/>
    <w:rsid w:val="002E340A"/>
    <w:rsid w:val="002F2803"/>
    <w:rsid w:val="003C0B09"/>
    <w:rsid w:val="003E6CED"/>
    <w:rsid w:val="00402528"/>
    <w:rsid w:val="00404309"/>
    <w:rsid w:val="004103C4"/>
    <w:rsid w:val="0043027F"/>
    <w:rsid w:val="004A5A73"/>
    <w:rsid w:val="00504FBB"/>
    <w:rsid w:val="00520434"/>
    <w:rsid w:val="00531679"/>
    <w:rsid w:val="005600B1"/>
    <w:rsid w:val="005705D1"/>
    <w:rsid w:val="0057238A"/>
    <w:rsid w:val="005D31B6"/>
    <w:rsid w:val="00637C50"/>
    <w:rsid w:val="00643249"/>
    <w:rsid w:val="00656F33"/>
    <w:rsid w:val="00737648"/>
    <w:rsid w:val="007B282F"/>
    <w:rsid w:val="007B61EF"/>
    <w:rsid w:val="00860C81"/>
    <w:rsid w:val="00876D4C"/>
    <w:rsid w:val="009023D9"/>
    <w:rsid w:val="0094330F"/>
    <w:rsid w:val="0094588C"/>
    <w:rsid w:val="0095055E"/>
    <w:rsid w:val="009E00DC"/>
    <w:rsid w:val="00A504A2"/>
    <w:rsid w:val="00A54DE7"/>
    <w:rsid w:val="00A7274B"/>
    <w:rsid w:val="00AB2407"/>
    <w:rsid w:val="00AD5DDB"/>
    <w:rsid w:val="00AE74AB"/>
    <w:rsid w:val="00C06362"/>
    <w:rsid w:val="00C600AF"/>
    <w:rsid w:val="00C64CD2"/>
    <w:rsid w:val="00C85AE9"/>
    <w:rsid w:val="00CD6312"/>
    <w:rsid w:val="00CE7E7D"/>
    <w:rsid w:val="00D07E44"/>
    <w:rsid w:val="00D10BB5"/>
    <w:rsid w:val="00D349D6"/>
    <w:rsid w:val="00D7036D"/>
    <w:rsid w:val="00DC101F"/>
    <w:rsid w:val="00DD481F"/>
    <w:rsid w:val="00DE0802"/>
    <w:rsid w:val="00DE39B8"/>
    <w:rsid w:val="00E307F6"/>
    <w:rsid w:val="00F70C12"/>
    <w:rsid w:val="00F8213A"/>
    <w:rsid w:val="00FA552B"/>
    <w:rsid w:val="00FE75D2"/>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New Roman" w:hAnsi="Arial" w:cs="Times New Roman"/>
        <w:sz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860C81"/>
    <w:pPr>
      <w:spacing w:after="0" w:line="240" w:lineRule="auto"/>
    </w:pPr>
    <w:rPr>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CD6312"/>
    <w:pPr>
      <w:spacing w:after="0" w:line="240" w:lineRule="auto"/>
    </w:pPr>
  </w:style>
  <w:style w:type="character" w:styleId="Verwijzingopmerking">
    <w:name w:val="annotation reference"/>
    <w:basedOn w:val="Standaardalinea-lettertype"/>
    <w:uiPriority w:val="99"/>
    <w:semiHidden/>
    <w:unhideWhenUsed/>
    <w:rsid w:val="005600B1"/>
    <w:rPr>
      <w:sz w:val="16"/>
      <w:szCs w:val="16"/>
    </w:rPr>
  </w:style>
  <w:style w:type="paragraph" w:styleId="Tekstopmerking">
    <w:name w:val="annotation text"/>
    <w:basedOn w:val="Standaard"/>
    <w:link w:val="TekstopmerkingChar"/>
    <w:uiPriority w:val="99"/>
    <w:semiHidden/>
    <w:unhideWhenUsed/>
    <w:rsid w:val="005600B1"/>
    <w:rPr>
      <w:sz w:val="20"/>
      <w:szCs w:val="20"/>
    </w:rPr>
  </w:style>
  <w:style w:type="character" w:customStyle="1" w:styleId="TekstopmerkingChar">
    <w:name w:val="Tekst opmerking Char"/>
    <w:basedOn w:val="Standaardalinea-lettertype"/>
    <w:link w:val="Tekstopmerking"/>
    <w:uiPriority w:val="99"/>
    <w:semiHidden/>
    <w:rsid w:val="005600B1"/>
    <w:rPr>
      <w:sz w:val="20"/>
    </w:rPr>
  </w:style>
  <w:style w:type="paragraph" w:styleId="Onderwerpvanopmerking">
    <w:name w:val="annotation subject"/>
    <w:basedOn w:val="Tekstopmerking"/>
    <w:next w:val="Tekstopmerking"/>
    <w:link w:val="OnderwerpvanopmerkingChar"/>
    <w:uiPriority w:val="99"/>
    <w:semiHidden/>
    <w:unhideWhenUsed/>
    <w:rsid w:val="005600B1"/>
    <w:rPr>
      <w:b/>
      <w:bCs/>
    </w:rPr>
  </w:style>
  <w:style w:type="character" w:customStyle="1" w:styleId="OnderwerpvanopmerkingChar">
    <w:name w:val="Onderwerp van opmerking Char"/>
    <w:basedOn w:val="TekstopmerkingChar"/>
    <w:link w:val="Onderwerpvanopmerking"/>
    <w:uiPriority w:val="99"/>
    <w:semiHidden/>
    <w:rsid w:val="005600B1"/>
    <w:rPr>
      <w:b/>
      <w:bCs/>
    </w:rPr>
  </w:style>
  <w:style w:type="paragraph" w:styleId="Ballontekst">
    <w:name w:val="Balloon Text"/>
    <w:basedOn w:val="Standaard"/>
    <w:link w:val="BallontekstChar"/>
    <w:uiPriority w:val="99"/>
    <w:semiHidden/>
    <w:unhideWhenUsed/>
    <w:rsid w:val="005600B1"/>
    <w:rPr>
      <w:rFonts w:ascii="Tahoma" w:hAnsi="Tahoma" w:cs="Tahoma"/>
      <w:sz w:val="16"/>
      <w:szCs w:val="16"/>
    </w:rPr>
  </w:style>
  <w:style w:type="character" w:customStyle="1" w:styleId="BallontekstChar">
    <w:name w:val="Ballontekst Char"/>
    <w:basedOn w:val="Standaardalinea-lettertype"/>
    <w:link w:val="Ballontekst"/>
    <w:uiPriority w:val="99"/>
    <w:semiHidden/>
    <w:rsid w:val="005600B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Pages>
  <Words>617</Words>
  <Characters>3397</Characters>
  <Application>Microsoft Office Word</Application>
  <DocSecurity>0</DocSecurity>
  <Lines>28</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dc:creator>
  <cp:lastModifiedBy>Peter</cp:lastModifiedBy>
  <cp:revision>9</cp:revision>
  <dcterms:created xsi:type="dcterms:W3CDTF">2014-01-22T15:21:00Z</dcterms:created>
  <dcterms:modified xsi:type="dcterms:W3CDTF">2014-03-30T21:19:00Z</dcterms:modified>
</cp:coreProperties>
</file>